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6B" w:rsidRDefault="0018106B" w:rsidP="0018106B">
      <w:pPr>
        <w:spacing w:after="120"/>
        <w:jc w:val="both"/>
        <w:rPr>
          <w:b/>
          <w:sz w:val="28"/>
          <w:szCs w:val="28"/>
        </w:rPr>
      </w:pPr>
      <w:r w:rsidRPr="00503022">
        <w:rPr>
          <w:b/>
          <w:sz w:val="28"/>
          <w:szCs w:val="28"/>
        </w:rPr>
        <w:t>Cambiar la práctica médica, no a los pacientes. Acabar con las terapias de conversión</w:t>
      </w:r>
    </w:p>
    <w:p w:rsidR="0018106B" w:rsidRPr="0018106B" w:rsidRDefault="0018106B" w:rsidP="0018106B">
      <w:pPr>
        <w:spacing w:after="120"/>
        <w:jc w:val="both"/>
        <w:rPr>
          <w:sz w:val="18"/>
          <w:szCs w:val="18"/>
          <w:lang w:val="en-GB"/>
        </w:rPr>
      </w:pPr>
      <w:r w:rsidRPr="0018106B">
        <w:rPr>
          <w:sz w:val="18"/>
          <w:szCs w:val="18"/>
          <w:lang w:val="en-GB"/>
        </w:rPr>
        <w:t xml:space="preserve">Carl G. </w:t>
      </w:r>
      <w:proofErr w:type="spellStart"/>
      <w:r w:rsidRPr="0018106B">
        <w:rPr>
          <w:sz w:val="18"/>
          <w:szCs w:val="18"/>
          <w:lang w:val="en-GB"/>
        </w:rPr>
        <w:t>Streed</w:t>
      </w:r>
      <w:proofErr w:type="spellEnd"/>
      <w:r w:rsidRPr="0018106B">
        <w:rPr>
          <w:sz w:val="18"/>
          <w:szCs w:val="18"/>
          <w:lang w:val="en-GB"/>
        </w:rPr>
        <w:t>, Jr., M.D.</w:t>
      </w:r>
      <w:r w:rsidR="00DA4B05" w:rsidRPr="0018106B">
        <w:rPr>
          <w:sz w:val="18"/>
          <w:szCs w:val="18"/>
          <w:lang w:val="en-GB"/>
        </w:rPr>
        <w:t>, M.P.H</w:t>
      </w:r>
      <w:r w:rsidRPr="0018106B">
        <w:rPr>
          <w:sz w:val="18"/>
          <w:szCs w:val="18"/>
          <w:lang w:val="en-GB"/>
        </w:rPr>
        <w:t xml:space="preserve">., J. </w:t>
      </w:r>
      <w:r>
        <w:rPr>
          <w:sz w:val="18"/>
          <w:szCs w:val="18"/>
          <w:lang w:val="en-GB"/>
        </w:rPr>
        <w:t xml:space="preserve">Seth Anderson, M.A., Chris </w:t>
      </w:r>
      <w:proofErr w:type="spellStart"/>
      <w:r>
        <w:rPr>
          <w:sz w:val="18"/>
          <w:szCs w:val="18"/>
          <w:lang w:val="en-GB"/>
        </w:rPr>
        <w:t>Babits</w:t>
      </w:r>
      <w:proofErr w:type="spellEnd"/>
      <w:r w:rsidR="00DA4B05">
        <w:rPr>
          <w:sz w:val="18"/>
          <w:szCs w:val="18"/>
          <w:lang w:val="en-GB"/>
        </w:rPr>
        <w:t>, Ph.D., and Michael A. Ferguson, Ph.D.</w:t>
      </w:r>
    </w:p>
    <w:p w:rsidR="00DA4B05" w:rsidRDefault="00DA4B05" w:rsidP="00DA4B05">
      <w:pPr>
        <w:spacing w:after="120"/>
        <w:jc w:val="both"/>
        <w:rPr>
          <w:b/>
          <w:sz w:val="28"/>
          <w:szCs w:val="28"/>
          <w:lang w:val="en-GB"/>
        </w:rPr>
      </w:pPr>
    </w:p>
    <w:p w:rsidR="00292887" w:rsidRDefault="00292887" w:rsidP="00DA4B05">
      <w:pPr>
        <w:spacing w:after="120"/>
        <w:jc w:val="both"/>
      </w:pPr>
      <w:r w:rsidRPr="00292887">
        <w:rPr>
          <w:i/>
        </w:rPr>
        <w:t>Identidad borrada</w:t>
      </w:r>
      <w:r>
        <w:t xml:space="preserve"> y la </w:t>
      </w:r>
      <w:r w:rsidRPr="00292887">
        <w:rPr>
          <w:i/>
        </w:rPr>
        <w:t>Deseducación de Cameron Post</w:t>
      </w:r>
      <w:r>
        <w:t>, dos películas realizadas en 2018, hicieron conocer al gran público las prácticas para cambiar la orientación sexual de personas, también conocidas como terapias de conversión.</w:t>
      </w:r>
    </w:p>
    <w:p w:rsidR="00292887" w:rsidRDefault="00292887" w:rsidP="000933DA">
      <w:pPr>
        <w:spacing w:after="120"/>
        <w:ind w:firstLine="567"/>
        <w:jc w:val="both"/>
      </w:pPr>
      <w:r>
        <w:t>Estas películas retratan los traumas infligidos por tales terapias y la evidentemente falsa ciencia que soporta está desprestigiada práctica.</w:t>
      </w:r>
    </w:p>
    <w:p w:rsidR="00292887" w:rsidRDefault="00292887" w:rsidP="000933DA">
      <w:pPr>
        <w:spacing w:after="120"/>
        <w:ind w:firstLine="567"/>
        <w:jc w:val="both"/>
      </w:pPr>
      <w:r>
        <w:t>La Asociación Americana de Psiquiatría (APA) aprovechó este momento cultural para reafirmar su oposición a la</w:t>
      </w:r>
      <w:r w:rsidR="00F44171">
        <w:t>s</w:t>
      </w:r>
      <w:r>
        <w:t xml:space="preserve"> terapia</w:t>
      </w:r>
      <w:r w:rsidR="00F44171">
        <w:t>s</w:t>
      </w:r>
      <w:r>
        <w:t xml:space="preserve"> de conversión, una postura que ha mantenido desde 1998.</w:t>
      </w:r>
    </w:p>
    <w:p w:rsidR="00292887" w:rsidRDefault="00292887" w:rsidP="000933DA">
      <w:pPr>
        <w:spacing w:after="120"/>
        <w:ind w:firstLine="567"/>
        <w:jc w:val="both"/>
      </w:pPr>
      <w:r>
        <w:t>A pesar de tan larga oposición entre las organizaciones profesionales médicas, en los Estados Unidos sólo 18 estados, Puerto Rico y Washington, D.C., han prohibido la terapia de conversión para meno</w:t>
      </w:r>
      <w:r w:rsidR="00F44171">
        <w:t xml:space="preserve">res </w:t>
      </w:r>
      <w:r>
        <w:t>(ver mapa). Los adultos pueden participar</w:t>
      </w:r>
      <w:r w:rsidRPr="00292887">
        <w:t xml:space="preserve"> </w:t>
      </w:r>
      <w:r>
        <w:t>voluntariamente  en terapias de conversión en todos los estados y jurisdicciones.</w:t>
      </w:r>
    </w:p>
    <w:p w:rsidR="00292887" w:rsidRDefault="000933DA" w:rsidP="000933DA">
      <w:pPr>
        <w:spacing w:after="120"/>
        <w:jc w:val="both"/>
      </w:pPr>
      <w:r>
        <w:rPr>
          <w:noProof/>
        </w:rPr>
        <w:drawing>
          <wp:inline distT="0" distB="0" distL="0" distR="0">
            <wp:extent cx="5400040" cy="4384608"/>
            <wp:effectExtent l="19050" t="0" r="0" b="0"/>
            <wp:docPr id="1" name="Imagen 1" descr="C:\Users\Javier\Desktop\Mapa 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vier\Desktop\Mapa USA.jpg"/>
                    <pic:cNvPicPr>
                      <a:picLocks noChangeAspect="1" noChangeArrowheads="1"/>
                    </pic:cNvPicPr>
                  </pic:nvPicPr>
                  <pic:blipFill>
                    <a:blip r:embed="rId4" cstate="print"/>
                    <a:srcRect/>
                    <a:stretch>
                      <a:fillRect/>
                    </a:stretch>
                  </pic:blipFill>
                  <pic:spPr bwMode="auto">
                    <a:xfrm>
                      <a:off x="0" y="0"/>
                      <a:ext cx="5400040" cy="4384608"/>
                    </a:xfrm>
                    <a:prstGeom prst="rect">
                      <a:avLst/>
                    </a:prstGeom>
                    <a:noFill/>
                    <a:ln w="9525">
                      <a:noFill/>
                      <a:miter lim="800000"/>
                      <a:headEnd/>
                      <a:tailEnd/>
                    </a:ln>
                  </pic:spPr>
                </pic:pic>
              </a:graphicData>
            </a:graphic>
          </wp:inline>
        </w:drawing>
      </w:r>
    </w:p>
    <w:p w:rsidR="00292887" w:rsidRDefault="00292887" w:rsidP="000933DA">
      <w:pPr>
        <w:spacing w:after="120"/>
        <w:ind w:firstLine="567"/>
        <w:jc w:val="both"/>
      </w:pPr>
      <w:r>
        <w:t>La terapia de conversión arraiga en la noción de que cualquier orientación sexual no h</w:t>
      </w:r>
      <w:r w:rsidR="0014012F">
        <w:t>eterosexual es una patología que</w:t>
      </w:r>
      <w:r>
        <w:t xml:space="preserve"> necesita </w:t>
      </w:r>
      <w:r w:rsidR="0014012F">
        <w:t xml:space="preserve">un “tratamiento”. </w:t>
      </w:r>
      <w:r>
        <w:t>Aunque la ciencia de la sexual</w:t>
      </w:r>
      <w:r w:rsidR="0014012F">
        <w:t xml:space="preserve">idad desde la mitad del siglo XIX </w:t>
      </w:r>
      <w:r>
        <w:t xml:space="preserve"> </w:t>
      </w:r>
      <w:r w:rsidR="0014012F">
        <w:t>h</w:t>
      </w:r>
      <w:r>
        <w:t>a reconocido la existencia de atracción homosexual o por el mismo sexo, la mayoría de los médicos percibían tal atracción como anormal y creían que podría resolverse con intervención médica.</w:t>
      </w:r>
    </w:p>
    <w:p w:rsidR="00292887" w:rsidRDefault="00292887" w:rsidP="000933DA">
      <w:pPr>
        <w:spacing w:after="120"/>
        <w:ind w:firstLine="567"/>
        <w:jc w:val="both"/>
      </w:pPr>
      <w:r>
        <w:lastRenderedPageBreak/>
        <w:t>Al llegar el siglo 20 los médicos</w:t>
      </w:r>
      <w:r w:rsidR="0014012F">
        <w:t xml:space="preserve">, psiquiatras, </w:t>
      </w:r>
      <w:r>
        <w:t xml:space="preserve"> psicoterapeutas y sexólogos continuaron desarrollando teorías con respecto a las causas y a </w:t>
      </w:r>
      <w:r w:rsidR="0014012F">
        <w:t xml:space="preserve">los </w:t>
      </w:r>
      <w:r>
        <w:t xml:space="preserve">potenciales </w:t>
      </w:r>
      <w:r w:rsidR="0014012F">
        <w:t xml:space="preserve">tratamientos </w:t>
      </w:r>
      <w:r>
        <w:t xml:space="preserve">para las </w:t>
      </w:r>
      <w:r w:rsidR="0014012F">
        <w:t xml:space="preserve">diversidades </w:t>
      </w:r>
      <w:r>
        <w:t>sexuales y de género. Sin emb</w:t>
      </w:r>
      <w:r w:rsidR="00C103A4">
        <w:t>argo en el periodo previo a la Segunda Guerra M</w:t>
      </w:r>
      <w:r>
        <w:t>undial no había surgido una única explicación ortodoxa.</w:t>
      </w:r>
    </w:p>
    <w:p w:rsidR="00292887" w:rsidRDefault="00C103A4" w:rsidP="000933DA">
      <w:pPr>
        <w:spacing w:after="120"/>
        <w:ind w:firstLine="567"/>
        <w:jc w:val="both"/>
      </w:pPr>
      <w:r>
        <w:t>La Asociación Americana de Psiquiatría incluyó</w:t>
      </w:r>
      <w:r w:rsidR="00292887">
        <w:t xml:space="preserve"> la homosexualidad como una enfermedad mental en la</w:t>
      </w:r>
      <w:r>
        <w:t xml:space="preserve"> primera edición del Manual de Diagnóstico y E</w:t>
      </w:r>
      <w:r w:rsidR="00292887">
        <w:t>stadística de los trastornos mentales en 1952.</w:t>
      </w:r>
    </w:p>
    <w:p w:rsidR="00292887" w:rsidRDefault="00C103A4" w:rsidP="000933DA">
      <w:pPr>
        <w:spacing w:after="120"/>
        <w:ind w:firstLine="567"/>
        <w:jc w:val="both"/>
      </w:pPr>
      <w:r>
        <w:t>Después de la Segunda Guerra M</w:t>
      </w:r>
      <w:r w:rsidR="00292887">
        <w:t xml:space="preserve">undial las teorías que culpaban a ciertos procesos de crianza - específicamente a madres dominantes - en las causas de la homosexualidad masculina </w:t>
      </w:r>
      <w:r w:rsidR="00270DC3">
        <w:t>se hicieron</w:t>
      </w:r>
      <w:r w:rsidR="00292887">
        <w:t xml:space="preserve"> médica y culturalmente populares, y se elaboraron teorías acerca de la contribución de abusos sexuales en el </w:t>
      </w:r>
      <w:hyperlink r:id="rId5" w:history="1">
        <w:r w:rsidR="00292887" w:rsidRPr="00270DC3">
          <w:t>pasado.</w:t>
        </w:r>
        <w:r w:rsidR="00270DC3" w:rsidRPr="00270DC3">
          <w:t xml:space="preserve"> </w:t>
        </w:r>
        <w:r w:rsidR="00270DC3">
          <w:t>A</w:t>
        </w:r>
        <w:r w:rsidR="00292887" w:rsidRPr="00270DC3">
          <w:t>l</w:t>
        </w:r>
      </w:hyperlink>
      <w:r w:rsidR="00292887">
        <w:t xml:space="preserve"> mismo tiempo muchos profesionales médicos cre</w:t>
      </w:r>
      <w:r w:rsidR="00270DC3">
        <w:t>ían</w:t>
      </w:r>
      <w:r w:rsidR="00292887">
        <w:t xml:space="preserve"> que tales factores frustraron la maduración hacia una heterosexualidad adulta </w:t>
      </w:r>
      <w:r w:rsidR="00270DC3">
        <w:t>“</w:t>
      </w:r>
      <w:r w:rsidR="00292887">
        <w:t>normal</w:t>
      </w:r>
      <w:r w:rsidR="00270DC3">
        <w:t>”</w:t>
      </w:r>
      <w:r w:rsidR="00292887">
        <w:t>.</w:t>
      </w:r>
    </w:p>
    <w:p w:rsidR="00292887" w:rsidRDefault="00270DC3" w:rsidP="000933DA">
      <w:pPr>
        <w:spacing w:after="120"/>
        <w:ind w:firstLine="567"/>
        <w:jc w:val="both"/>
      </w:pPr>
      <w:r>
        <w:t>A</w:t>
      </w:r>
      <w:r w:rsidR="00292887">
        <w:t xml:space="preserve"> finales de los 60 los terapeutas estuvieron usando las terapias de modificación de conducta para tratar de reforzar el comportamiento heterosex</w:t>
      </w:r>
      <w:r>
        <w:t xml:space="preserve">ual por vías manipulativas, </w:t>
      </w:r>
      <w:r w:rsidR="00292887">
        <w:t>incluyen</w:t>
      </w:r>
      <w:r>
        <w:t>do</w:t>
      </w:r>
      <w:r w:rsidR="00292887">
        <w:t xml:space="preserve"> la utilización de prostitutas, reacondicionamiento del orgasmo, y un énfasis en el matrimonio con parejas del sexo opuesto.</w:t>
      </w:r>
      <w:r>
        <w:t xml:space="preserve"> L</w:t>
      </w:r>
      <w:r w:rsidR="00292887">
        <w:t>os psicólogos y otros profesionales también utilizaban varias formas de terapias de aversión, incluyendo electroshock</w:t>
      </w:r>
      <w:r>
        <w:t>, terapias química</w:t>
      </w:r>
      <w:r w:rsidR="00292887">
        <w:t>s y de privación hormonal para causar un "ajuste heterosexual".</w:t>
      </w:r>
    </w:p>
    <w:p w:rsidR="00292887" w:rsidRDefault="00270DC3" w:rsidP="000933DA">
      <w:pPr>
        <w:spacing w:after="120"/>
        <w:ind w:firstLine="567"/>
        <w:jc w:val="both"/>
      </w:pPr>
      <w:r>
        <w:t>Son escasas las</w:t>
      </w:r>
      <w:r w:rsidR="00292887">
        <w:t xml:space="preserve"> evidencias de que el electroshock y l</w:t>
      </w:r>
      <w:r w:rsidR="00022981">
        <w:t>as terapias químicas se utilicen</w:t>
      </w:r>
      <w:r w:rsidR="00292887">
        <w:t xml:space="preserve"> todavía </w:t>
      </w:r>
      <w:r>
        <w:t xml:space="preserve">para </w:t>
      </w:r>
      <w:r w:rsidR="00292887">
        <w:t>este propósito</w:t>
      </w:r>
      <w:r>
        <w:t>, pero las intervenciones como</w:t>
      </w:r>
      <w:r w:rsidR="00292887">
        <w:t xml:space="preserve"> terapias de conducta y de conversación continúan </w:t>
      </w:r>
      <w:r>
        <w:t xml:space="preserve">siendo </w:t>
      </w:r>
      <w:r w:rsidR="00292887">
        <w:t>ofrecidas a las personas lesbianas</w:t>
      </w:r>
      <w:r>
        <w:t>,</w:t>
      </w:r>
      <w:r w:rsidR="00292887">
        <w:t xml:space="preserve"> gays</w:t>
      </w:r>
      <w:r>
        <w:t>,</w:t>
      </w:r>
      <w:r w:rsidR="00292887">
        <w:t xml:space="preserve"> bisexuales </w:t>
      </w:r>
      <w:r>
        <w:t xml:space="preserve">transgénero </w:t>
      </w:r>
      <w:r w:rsidR="00292887">
        <w:t xml:space="preserve">y transexual </w:t>
      </w:r>
      <w:r w:rsidR="00876FB6">
        <w:t>(</w:t>
      </w:r>
      <w:r w:rsidR="00292887">
        <w:t>LGBTQ</w:t>
      </w:r>
      <w:r w:rsidR="00876FB6">
        <w:t>)</w:t>
      </w:r>
      <w:r w:rsidR="00292887">
        <w:t>,</w:t>
      </w:r>
      <w:r>
        <w:t xml:space="preserve"> </w:t>
      </w:r>
      <w:r w:rsidR="00876FB6">
        <w:t>co</w:t>
      </w:r>
      <w:r w:rsidR="00292887">
        <w:t xml:space="preserve">mo </w:t>
      </w:r>
      <w:r w:rsidR="00876FB6">
        <w:t>proveedoras</w:t>
      </w:r>
      <w:r w:rsidR="00292887">
        <w:t xml:space="preserve"> de un camino a la asimilación cultural de modo que puedan vivir como heterosexuales</w:t>
      </w:r>
      <w:r w:rsidR="00B57B76">
        <w:t xml:space="preserve"> (2)</w:t>
      </w:r>
      <w:r w:rsidR="00292887">
        <w:t>.</w:t>
      </w:r>
    </w:p>
    <w:p w:rsidR="00292887" w:rsidRDefault="00292887" w:rsidP="000933DA">
      <w:pPr>
        <w:spacing w:after="120"/>
        <w:ind w:firstLine="567"/>
        <w:jc w:val="both"/>
      </w:pPr>
      <w:r>
        <w:t xml:space="preserve">Hacia la mitad del siglo </w:t>
      </w:r>
      <w:r w:rsidR="00876FB6">
        <w:t>XX</w:t>
      </w:r>
      <w:r>
        <w:t xml:space="preserve"> algunos investigadores y psicólogos </w:t>
      </w:r>
      <w:r w:rsidR="00876FB6">
        <w:t xml:space="preserve">desafiaron </w:t>
      </w:r>
      <w:r>
        <w:t>la idea de que la homosexualidad fuese una enferme</w:t>
      </w:r>
      <w:r w:rsidR="00B57B76">
        <w:t xml:space="preserve">dad. En 1948 la obra de Alfred </w:t>
      </w:r>
      <w:proofErr w:type="spellStart"/>
      <w:r w:rsidR="00B57B76">
        <w:t>K</w:t>
      </w:r>
      <w:r>
        <w:t>insey</w:t>
      </w:r>
      <w:proofErr w:type="spellEnd"/>
      <w:r>
        <w:t xml:space="preserve"> "Comportamiento sexual en el </w:t>
      </w:r>
      <w:r w:rsidR="00D66440">
        <w:t>varón</w:t>
      </w:r>
      <w:proofErr w:type="gramStart"/>
      <w:r w:rsidR="00D66440">
        <w:t>“ reveló</w:t>
      </w:r>
      <w:proofErr w:type="gramEnd"/>
      <w:r>
        <w:t xml:space="preserve"> que un 37% de los hombres </w:t>
      </w:r>
      <w:r w:rsidR="00B57B76">
        <w:t>norte</w:t>
      </w:r>
      <w:r>
        <w:t>americanos habían participado en actividad sexual con el mismo sexo hasta llegar al orgasmo.</w:t>
      </w:r>
    </w:p>
    <w:p w:rsidR="00292887" w:rsidRDefault="00292887" w:rsidP="000933DA">
      <w:pPr>
        <w:spacing w:after="120"/>
        <w:ind w:firstLine="567"/>
        <w:jc w:val="both"/>
      </w:pPr>
      <w:r>
        <w:t xml:space="preserve">Informes de otros profesionales en varios campos pronto siguieron. En 1951 el </w:t>
      </w:r>
      <w:r w:rsidR="00876FB6">
        <w:t xml:space="preserve">etólogo Frank Beach y el antropólogo </w:t>
      </w:r>
      <w:proofErr w:type="spellStart"/>
      <w:r w:rsidR="00876FB6">
        <w:t>C</w:t>
      </w:r>
      <w:r>
        <w:t>l</w:t>
      </w:r>
      <w:r w:rsidR="00876FB6">
        <w:t>ell</w:t>
      </w:r>
      <w:r>
        <w:t>an</w:t>
      </w:r>
      <w:proofErr w:type="spellEnd"/>
      <w:r>
        <w:t xml:space="preserve"> Ford informaron sobre la aceptación de la homosexualidad en una gama de</w:t>
      </w:r>
      <w:r w:rsidR="00876FB6">
        <w:t xml:space="preserve"> culturas; la psicóloga Evelyn </w:t>
      </w:r>
      <w:proofErr w:type="spellStart"/>
      <w:r w:rsidR="00876FB6">
        <w:t>H</w:t>
      </w:r>
      <w:r w:rsidR="00D66440">
        <w:t>ooker</w:t>
      </w:r>
      <w:proofErr w:type="spellEnd"/>
      <w:r w:rsidR="00D66440">
        <w:t xml:space="preserve"> comenzó a publicar en los 50 </w:t>
      </w:r>
      <w:r>
        <w:t xml:space="preserve"> la investigación que revelaba una falta de diferencias mentales discernibles entre los hombres homosexuales y los heterosexuales; y en 1961 el psiquiatra T</w:t>
      </w:r>
      <w:r w:rsidR="00D66440">
        <w:t>homa</w:t>
      </w:r>
      <w:r>
        <w:t xml:space="preserve">s </w:t>
      </w:r>
      <w:proofErr w:type="spellStart"/>
      <w:r>
        <w:t>S</w:t>
      </w:r>
      <w:r w:rsidR="00D66440">
        <w:t>zasz</w:t>
      </w:r>
      <w:proofErr w:type="spellEnd"/>
      <w:r w:rsidR="00D66440">
        <w:t xml:space="preserve"> </w:t>
      </w:r>
      <w:proofErr w:type="spellStart"/>
      <w:r w:rsidR="00D66440">
        <w:t>públicó</w:t>
      </w:r>
      <w:proofErr w:type="spellEnd"/>
      <w:r>
        <w:t xml:space="preserve"> </w:t>
      </w:r>
      <w:r w:rsidR="00D66440">
        <w:t>“E</w:t>
      </w:r>
      <w:r>
        <w:t>l mito de la enfermedad mental</w:t>
      </w:r>
      <w:r w:rsidR="00D66440">
        <w:t>”, en el cual refutó</w:t>
      </w:r>
      <w:r>
        <w:t xml:space="preserve"> la premisa de que la homosexualidad fuese una enfermedad mental</w:t>
      </w:r>
      <w:r w:rsidR="00B57B76">
        <w:t xml:space="preserve"> (3)</w:t>
      </w:r>
      <w:r>
        <w:t>. En las décadas que siguieron se encontró que la diversidad en orientación sexual e identidad de género eran parte de la gama normal de la población humana.</w:t>
      </w:r>
    </w:p>
    <w:p w:rsidR="00292887" w:rsidRDefault="00D66440" w:rsidP="000933DA">
      <w:pPr>
        <w:spacing w:after="120"/>
        <w:ind w:firstLine="567"/>
        <w:jc w:val="both"/>
      </w:pPr>
      <w:r>
        <w:t>E</w:t>
      </w:r>
      <w:r w:rsidR="00292887">
        <w:t xml:space="preserve">studios sobre adultos que habían sido sometidos a terapias de conversión en edades tempranas de su vida </w:t>
      </w:r>
      <w:r>
        <w:t xml:space="preserve">documentaron </w:t>
      </w:r>
      <w:r w:rsidR="00292887">
        <w:t xml:space="preserve"> una gama de riesgos para la salud.</w:t>
      </w:r>
    </w:p>
    <w:p w:rsidR="00292887" w:rsidRDefault="00292887" w:rsidP="000933DA">
      <w:pPr>
        <w:spacing w:after="120"/>
        <w:ind w:firstLine="567"/>
        <w:jc w:val="both"/>
      </w:pPr>
      <w:r>
        <w:t xml:space="preserve">La más reciente y </w:t>
      </w:r>
      <w:r w:rsidR="00B57B76">
        <w:t xml:space="preserve">más </w:t>
      </w:r>
      <w:r>
        <w:t>convince</w:t>
      </w:r>
      <w:r w:rsidR="00D66440">
        <w:t xml:space="preserve">nte evidencia de esto viene de </w:t>
      </w:r>
      <w:proofErr w:type="spellStart"/>
      <w:r w:rsidR="00D66440">
        <w:t>Family</w:t>
      </w:r>
      <w:proofErr w:type="spellEnd"/>
      <w:r w:rsidR="00D66440">
        <w:t xml:space="preserve"> </w:t>
      </w:r>
      <w:proofErr w:type="spellStart"/>
      <w:r w:rsidR="00D66440">
        <w:t>Acceptance</w:t>
      </w:r>
      <w:proofErr w:type="spellEnd"/>
      <w:r w:rsidR="00D66440">
        <w:t xml:space="preserve"> P</w:t>
      </w:r>
      <w:r>
        <w:t xml:space="preserve">roject, una iniciativa que trabaja para prevenir riesgos físicos y mentales </w:t>
      </w:r>
      <w:r w:rsidR="00D66440">
        <w:t xml:space="preserve">en </w:t>
      </w:r>
      <w:r>
        <w:t xml:space="preserve">la salud </w:t>
      </w:r>
      <w:r w:rsidR="00D66440">
        <w:t xml:space="preserve">de </w:t>
      </w:r>
      <w:r>
        <w:t>la población joven LGBTQ.</w:t>
      </w:r>
      <w:r w:rsidR="00D66440">
        <w:t xml:space="preserve"> En 2018 la organización llevó a cabo</w:t>
      </w:r>
      <w:r>
        <w:t xml:space="preserve"> un estudio transversal sobre 245 adultos jóvenes LGBTQ y encontró que </w:t>
      </w:r>
      <w:r w:rsidR="00D66440">
        <w:t>los participantes cuyos padres u</w:t>
      </w:r>
      <w:r>
        <w:t xml:space="preserve"> otros cuidadores les habían motivado para seguir terapias de conversión tenían tasas más altas de d</w:t>
      </w:r>
      <w:r w:rsidR="00D66440">
        <w:t>epresión, pensamientos suicidas</w:t>
      </w:r>
      <w:r>
        <w:t xml:space="preserve"> e intentos de suicidio, así como más bajos logros </w:t>
      </w:r>
      <w:r>
        <w:lastRenderedPageBreak/>
        <w:t>educativos e ingresos que aquellos que no fueron expuestos a tales prácticas para cambiar su orientación sexual</w:t>
      </w:r>
      <w:r w:rsidR="00D66440">
        <w:t xml:space="preserve"> (4)</w:t>
      </w:r>
      <w:r>
        <w:t>.</w:t>
      </w:r>
    </w:p>
    <w:p w:rsidR="00292887" w:rsidRDefault="00292887" w:rsidP="000933DA">
      <w:pPr>
        <w:spacing w:after="120"/>
        <w:ind w:firstLine="567"/>
        <w:jc w:val="both"/>
      </w:pPr>
      <w:r>
        <w:t xml:space="preserve">La terapia de conversión ha sido </w:t>
      </w:r>
      <w:r w:rsidR="00B57B76">
        <w:t xml:space="preserve">impugnada </w:t>
      </w:r>
      <w:r>
        <w:t>en los tribunales y hallada como un fraude perpetrado contra las personas LGBT</w:t>
      </w:r>
      <w:r w:rsidR="00B57B76">
        <w:t>Q</w:t>
      </w:r>
      <w:r>
        <w:t xml:space="preserve"> y sus familias. En el caso pionero en 2015 presentado por el </w:t>
      </w:r>
      <w:proofErr w:type="spellStart"/>
      <w:r w:rsidR="00B57B76">
        <w:t>Southern</w:t>
      </w:r>
      <w:proofErr w:type="spellEnd"/>
      <w:r w:rsidR="00B57B76">
        <w:t xml:space="preserve"> </w:t>
      </w:r>
      <w:proofErr w:type="spellStart"/>
      <w:r w:rsidR="00B57B76">
        <w:t>Poverty</w:t>
      </w:r>
      <w:proofErr w:type="spellEnd"/>
      <w:r w:rsidR="00B57B76">
        <w:t xml:space="preserve"> </w:t>
      </w:r>
      <w:proofErr w:type="spellStart"/>
      <w:r w:rsidR="00B57B76">
        <w:t>Law</w:t>
      </w:r>
      <w:proofErr w:type="spellEnd"/>
      <w:r w:rsidR="00B57B76">
        <w:t xml:space="preserve"> C</w:t>
      </w:r>
      <w:r>
        <w:t>enter</w:t>
      </w:r>
      <w:r w:rsidR="00B57B76">
        <w:t>,</w:t>
      </w:r>
      <w:r>
        <w:t xml:space="preserve"> </w:t>
      </w:r>
      <w:r w:rsidR="00B57B76">
        <w:t>“</w:t>
      </w:r>
      <w:proofErr w:type="spellStart"/>
      <w:r w:rsidR="00B57B76">
        <w:t>Ferguson</w:t>
      </w:r>
      <w:proofErr w:type="spellEnd"/>
      <w:r w:rsidR="00B57B76">
        <w:t xml:space="preserve"> contra JONAH”, un tribunal del estado de N</w:t>
      </w:r>
      <w:r>
        <w:t>ew Jersey, estableció que la homosexualidad no es una enfermedad co</w:t>
      </w:r>
      <w:r w:rsidR="00B57B76">
        <w:t>mo cuestión de derecho y condenó</w:t>
      </w:r>
      <w:r>
        <w:t xml:space="preserve"> al acusado</w:t>
      </w:r>
      <w:r w:rsidR="00B57B76">
        <w:t xml:space="preserve">, </w:t>
      </w:r>
      <w:proofErr w:type="spellStart"/>
      <w:r w:rsidR="00B57B76">
        <w:t>Jews</w:t>
      </w:r>
      <w:proofErr w:type="spellEnd"/>
      <w:r w:rsidR="00B57B76">
        <w:t xml:space="preserve"> </w:t>
      </w:r>
      <w:proofErr w:type="spellStart"/>
      <w:r w:rsidR="00B57B76">
        <w:t>offering</w:t>
      </w:r>
      <w:proofErr w:type="spellEnd"/>
      <w:r w:rsidR="00B57B76">
        <w:t xml:space="preserve"> New </w:t>
      </w:r>
      <w:proofErr w:type="spellStart"/>
      <w:r w:rsidR="00B57B76">
        <w:t>Alternatives</w:t>
      </w:r>
      <w:proofErr w:type="spellEnd"/>
      <w:r w:rsidR="00B57B76">
        <w:t xml:space="preserve"> </w:t>
      </w:r>
      <w:proofErr w:type="spellStart"/>
      <w:r w:rsidR="00B57B76">
        <w:t>for</w:t>
      </w:r>
      <w:proofErr w:type="spellEnd"/>
      <w:r w:rsidR="00B57B76">
        <w:t xml:space="preserve"> </w:t>
      </w:r>
      <w:proofErr w:type="spellStart"/>
      <w:r w:rsidR="00B57B76">
        <w:t>Healing</w:t>
      </w:r>
      <w:proofErr w:type="spellEnd"/>
      <w:r w:rsidR="00B57B76">
        <w:t xml:space="preserve"> (JONAH)</w:t>
      </w:r>
      <w:r>
        <w:t xml:space="preserve">, </w:t>
      </w:r>
      <w:r w:rsidR="00B57B76">
        <w:t xml:space="preserve">como </w:t>
      </w:r>
      <w:r>
        <w:t>responsable de fraude al co</w:t>
      </w:r>
      <w:r w:rsidR="00B57B76">
        <w:t xml:space="preserve">nsumidor. En junio de 2019, el </w:t>
      </w:r>
      <w:proofErr w:type="spellStart"/>
      <w:r w:rsidR="00B57B76">
        <w:t>Jewish</w:t>
      </w:r>
      <w:proofErr w:type="spellEnd"/>
      <w:r w:rsidR="00B57B76">
        <w:t xml:space="preserve"> </w:t>
      </w:r>
      <w:proofErr w:type="spellStart"/>
      <w:r w:rsidR="00B57B76">
        <w:t>Institute</w:t>
      </w:r>
      <w:proofErr w:type="spellEnd"/>
      <w:r w:rsidR="00B57B76">
        <w:t xml:space="preserve"> </w:t>
      </w:r>
      <w:proofErr w:type="spellStart"/>
      <w:r w:rsidR="00B57B76">
        <w:t>for</w:t>
      </w:r>
      <w:proofErr w:type="spellEnd"/>
      <w:r w:rsidR="00B57B76">
        <w:t xml:space="preserve"> G</w:t>
      </w:r>
      <w:r>
        <w:t>lobal</w:t>
      </w:r>
      <w:r w:rsidR="00B57B76">
        <w:t xml:space="preserve"> </w:t>
      </w:r>
      <w:proofErr w:type="spellStart"/>
      <w:r w:rsidR="00B57B76">
        <w:t>Awareness</w:t>
      </w:r>
      <w:proofErr w:type="spellEnd"/>
      <w:r>
        <w:t xml:space="preserve"> </w:t>
      </w:r>
      <w:r w:rsidR="00B57B76">
        <w:t>(</w:t>
      </w:r>
      <w:r>
        <w:t>J</w:t>
      </w:r>
      <w:r w:rsidR="00B57B76">
        <w:t>IFG</w:t>
      </w:r>
      <w:r>
        <w:t>A</w:t>
      </w:r>
      <w:r w:rsidR="00B57B76">
        <w:t>)</w:t>
      </w:r>
      <w:r>
        <w:t>, una organización sin ánimo de lucro establecida por los cofundadores de</w:t>
      </w:r>
      <w:r w:rsidR="00A44796">
        <w:t xml:space="preserve"> </w:t>
      </w:r>
      <w:r w:rsidR="00B57B76">
        <w:t>JONAH</w:t>
      </w:r>
      <w:r>
        <w:t>, fue condenada por haber violado el requerimiento y acuerdo de conc</w:t>
      </w:r>
      <w:r w:rsidR="00A44796">
        <w:t>iliación de 2015 cuando continuó</w:t>
      </w:r>
      <w:r>
        <w:t xml:space="preserve"> ofreciendo la terapia de conversión en violación de la l</w:t>
      </w:r>
      <w:r w:rsidR="00A44796">
        <w:t>ey antifraude al consumidor de N</w:t>
      </w:r>
      <w:r>
        <w:t>ew Jersey.</w:t>
      </w:r>
    </w:p>
    <w:p w:rsidR="00292887" w:rsidRDefault="00A44796" w:rsidP="000933DA">
      <w:pPr>
        <w:spacing w:after="120"/>
        <w:ind w:firstLine="567"/>
        <w:jc w:val="both"/>
      </w:pPr>
      <w:r>
        <w:t xml:space="preserve">JONAH </w:t>
      </w:r>
      <w:r w:rsidR="00292887">
        <w:t>y J</w:t>
      </w:r>
      <w:r>
        <w:t>I</w:t>
      </w:r>
      <w:r w:rsidR="00292887">
        <w:t>F</w:t>
      </w:r>
      <w:r>
        <w:t>GA operaban en Jersey C</w:t>
      </w:r>
      <w:r w:rsidR="00292887">
        <w:t>ity</w:t>
      </w:r>
      <w:r>
        <w:t>, N</w:t>
      </w:r>
      <w:r w:rsidR="00292887">
        <w:t>ew Jersey</w:t>
      </w:r>
      <w:r>
        <w:t>,</w:t>
      </w:r>
      <w:r w:rsidR="00292887">
        <w:t xml:space="preserve"> y tenían clientes de la ciudad de Nueva York y de </w:t>
      </w:r>
      <w:r>
        <w:t xml:space="preserve">sus </w:t>
      </w:r>
      <w:r w:rsidR="00292887">
        <w:t xml:space="preserve">áreas </w:t>
      </w:r>
      <w:r>
        <w:t xml:space="preserve">suburbanas, </w:t>
      </w:r>
      <w:r w:rsidR="00292887">
        <w:t xml:space="preserve">contradiciendo la noción de que las prácticas de terapia de conversión se realizaban solamente en </w:t>
      </w:r>
      <w:r>
        <w:t xml:space="preserve">zonas </w:t>
      </w:r>
      <w:r w:rsidR="00292887">
        <w:t>política y religiosamente conservadoras.</w:t>
      </w:r>
    </w:p>
    <w:p w:rsidR="00292887" w:rsidRDefault="00292887" w:rsidP="000933DA">
      <w:pPr>
        <w:spacing w:after="120"/>
        <w:ind w:firstLine="567"/>
        <w:jc w:val="both"/>
      </w:pPr>
      <w:r>
        <w:t>Las asociaciones profesionales tales c</w:t>
      </w:r>
      <w:r w:rsidR="00A44796">
        <w:t xml:space="preserve">omo la Asociación Médica Americana </w:t>
      </w:r>
      <w:r>
        <w:t xml:space="preserve">han denunciado también públicamente </w:t>
      </w:r>
      <w:r w:rsidRPr="00503022">
        <w:t>la terapia</w:t>
      </w:r>
      <w:r>
        <w:t xml:space="preserve"> de conversión y documentado el daño sustancial asociado con ella.</w:t>
      </w:r>
      <w:r w:rsidR="00A44796">
        <w:t xml:space="preserve"> A</w:t>
      </w:r>
      <w:r>
        <w:t>demás de la A</w:t>
      </w:r>
      <w:r w:rsidR="00A44796">
        <w:t>PA, la asociación Americana de Psicología, la Asociación Americana de Pediatría</w:t>
      </w:r>
      <w:r>
        <w:t xml:space="preserve">, y otras organizaciones profesionales han aprobado un </w:t>
      </w:r>
      <w:r w:rsidR="00503022">
        <w:t xml:space="preserve">manual básico </w:t>
      </w:r>
      <w:r>
        <w:t xml:space="preserve">sobre orientación sexual y población joven, declarando que </w:t>
      </w:r>
      <w:r w:rsidR="00A44796">
        <w:t>“</w:t>
      </w:r>
      <w:r>
        <w:t xml:space="preserve">la idea de que la homosexualidad es un desorden mental o que </w:t>
      </w:r>
      <w:r w:rsidR="00A44796">
        <w:t xml:space="preserve">el surgimiento </w:t>
      </w:r>
      <w:r>
        <w:t xml:space="preserve">de atracción </w:t>
      </w:r>
      <w:r w:rsidR="00A44796">
        <w:t xml:space="preserve">y de orientación </w:t>
      </w:r>
      <w:r>
        <w:t xml:space="preserve">por el mismo sexo </w:t>
      </w:r>
      <w:r w:rsidR="00540EE8">
        <w:t xml:space="preserve">en adolescentes es </w:t>
      </w:r>
      <w:r w:rsidR="00540EE8" w:rsidRPr="00503022">
        <w:t>de alguna forma</w:t>
      </w:r>
      <w:r w:rsidR="00540EE8">
        <w:t xml:space="preserve"> </w:t>
      </w:r>
      <w:r>
        <w:t>anormal o mentalmente desordenada no tiene soporte de modo general entre las organizaciones profesionales de salud y de salud mental.</w:t>
      </w:r>
    </w:p>
    <w:p w:rsidR="00292887" w:rsidRDefault="00540EE8" w:rsidP="000933DA">
      <w:pPr>
        <w:spacing w:after="120"/>
        <w:ind w:firstLine="567"/>
        <w:jc w:val="both"/>
      </w:pPr>
      <w:r>
        <w:t>La Asociación Mundial de Psiquiatría (</w:t>
      </w:r>
      <w:proofErr w:type="spellStart"/>
      <w:r>
        <w:t>World</w:t>
      </w:r>
      <w:proofErr w:type="spellEnd"/>
      <w:r>
        <w:t xml:space="preserve"> Psychiatric </w:t>
      </w:r>
      <w:proofErr w:type="spellStart"/>
      <w:r>
        <w:t>Association</w:t>
      </w:r>
      <w:proofErr w:type="spellEnd"/>
      <w:r>
        <w:t>)</w:t>
      </w:r>
      <w:r w:rsidR="00292887">
        <w:t xml:space="preserve"> ha declarado que intervenciones como </w:t>
      </w:r>
      <w:r w:rsidR="00292887" w:rsidRPr="00503022">
        <w:t>la terapia</w:t>
      </w:r>
      <w:r w:rsidR="00292887">
        <w:t xml:space="preserve"> de conversión </w:t>
      </w:r>
      <w:r>
        <w:t xml:space="preserve">están </w:t>
      </w:r>
      <w:r w:rsidR="00292887">
        <w:t xml:space="preserve">totalmente </w:t>
      </w:r>
      <w:r w:rsidR="00292887" w:rsidRPr="00503022">
        <w:t>fuera de la ética.</w:t>
      </w:r>
    </w:p>
    <w:p w:rsidR="00292887" w:rsidRDefault="00540EE8" w:rsidP="000933DA">
      <w:pPr>
        <w:spacing w:after="120"/>
        <w:ind w:firstLine="567"/>
        <w:jc w:val="both"/>
      </w:pPr>
      <w:r>
        <w:t xml:space="preserve">El Colegio norteamericano de médicos (American </w:t>
      </w:r>
      <w:proofErr w:type="spellStart"/>
      <w:r>
        <w:t>College</w:t>
      </w:r>
      <w:proofErr w:type="spellEnd"/>
      <w:r>
        <w:t xml:space="preserve"> of </w:t>
      </w:r>
      <w:proofErr w:type="spellStart"/>
      <w:r>
        <w:t>P</w:t>
      </w:r>
      <w:r w:rsidR="00292887">
        <w:t>hysicians</w:t>
      </w:r>
      <w:proofErr w:type="spellEnd"/>
      <w:r>
        <w:t xml:space="preserve">) ha </w:t>
      </w:r>
      <w:r w:rsidR="00292887">
        <w:t>apuntado a la investigación</w:t>
      </w:r>
      <w:r>
        <w:t>,</w:t>
      </w:r>
      <w:r w:rsidR="00292887">
        <w:t xml:space="preserve"> mostrando que "la práctica</w:t>
      </w:r>
      <w:r>
        <w:t xml:space="preserve"> (de </w:t>
      </w:r>
      <w:r w:rsidRPr="00503022">
        <w:t>las terapias</w:t>
      </w:r>
      <w:r>
        <w:t xml:space="preserve"> de conversión)</w:t>
      </w:r>
      <w:r w:rsidR="00292887">
        <w:t xml:space="preserve"> puede causar </w:t>
      </w:r>
      <w:r>
        <w:t xml:space="preserve">realmente </w:t>
      </w:r>
      <w:r w:rsidR="00292887">
        <w:t>daño emocion</w:t>
      </w:r>
      <w:r>
        <w:t>al o físico a los individuos LG</w:t>
      </w:r>
      <w:r w:rsidR="00292887">
        <w:t>B</w:t>
      </w:r>
      <w:r>
        <w:t>T</w:t>
      </w:r>
      <w:r w:rsidR="00292887">
        <w:t xml:space="preserve">, particularmente </w:t>
      </w:r>
      <w:r>
        <w:t xml:space="preserve">en </w:t>
      </w:r>
      <w:r w:rsidR="00292887">
        <w:t>adolescentes o jóvenes".</w:t>
      </w:r>
    </w:p>
    <w:p w:rsidR="00292887" w:rsidRDefault="00292887" w:rsidP="000933DA">
      <w:pPr>
        <w:spacing w:after="120"/>
        <w:ind w:firstLine="567"/>
        <w:jc w:val="both"/>
      </w:pPr>
      <w:r>
        <w:t xml:space="preserve">Antiguos </w:t>
      </w:r>
      <w:r w:rsidR="00A7033A">
        <w:t xml:space="preserve">defensores </w:t>
      </w:r>
      <w:r>
        <w:t>de alto nivel de las terapias de</w:t>
      </w:r>
      <w:r w:rsidR="00540EE8">
        <w:t xml:space="preserve"> conversión, incluyendo a Alan </w:t>
      </w:r>
      <w:proofErr w:type="spellStart"/>
      <w:r w:rsidR="00540EE8">
        <w:t>C</w:t>
      </w:r>
      <w:r>
        <w:t>hambers</w:t>
      </w:r>
      <w:proofErr w:type="spellEnd"/>
      <w:r>
        <w:t xml:space="preserve">, John </w:t>
      </w:r>
      <w:proofErr w:type="spellStart"/>
      <w:r>
        <w:t>Paul</w:t>
      </w:r>
      <w:r w:rsidR="00540EE8">
        <w:t>k</w:t>
      </w:r>
      <w:proofErr w:type="spellEnd"/>
      <w:r w:rsidR="00540EE8">
        <w:t xml:space="preserve">, John Smith, and David </w:t>
      </w:r>
      <w:proofErr w:type="spellStart"/>
      <w:r w:rsidR="00540EE8">
        <w:t>Math</w:t>
      </w:r>
      <w:r>
        <w:t>eson</w:t>
      </w:r>
      <w:proofErr w:type="spellEnd"/>
      <w:r>
        <w:t>, han denunciado también esta práctica.</w:t>
      </w:r>
    </w:p>
    <w:p w:rsidR="00292887" w:rsidRDefault="00292887" w:rsidP="000933DA">
      <w:pPr>
        <w:spacing w:after="120"/>
        <w:ind w:firstLine="567"/>
        <w:jc w:val="both"/>
      </w:pPr>
      <w:r>
        <w:t>Y todaví</w:t>
      </w:r>
      <w:r w:rsidR="00A7033A">
        <w:t>a un reciente informe estima que</w:t>
      </w:r>
      <w:r>
        <w:t xml:space="preserve"> 20.000 adolescentes LGBTQ serán sometidos a terapia de conversión con un profesional de salud titulado, antes de que ellos alcancen los 18 años de edad</w:t>
      </w:r>
      <w:r w:rsidR="00A7033A">
        <w:t xml:space="preserve"> (5)</w:t>
      </w:r>
      <w:r>
        <w:t>.</w:t>
      </w:r>
    </w:p>
    <w:p w:rsidR="002C163D" w:rsidRDefault="002C163D" w:rsidP="002C163D">
      <w:pPr>
        <w:spacing w:after="120"/>
        <w:ind w:firstLine="567"/>
        <w:jc w:val="both"/>
      </w:pPr>
      <w:r>
        <w:t>Los médicos pueden detectar el perfil de un típico paciente sometido a terapia de conversión. Los pacientes sometidos a terapia de conversión pueden no revelar información relevante a su médico para ocultar su participación en dicha terapia.</w:t>
      </w:r>
    </w:p>
    <w:p w:rsidR="00783B35" w:rsidRDefault="00783B35" w:rsidP="00783B35">
      <w:pPr>
        <w:spacing w:after="120"/>
        <w:jc w:val="both"/>
      </w:pPr>
      <w:r>
        <w:t xml:space="preserve">         </w:t>
      </w:r>
      <w:r w:rsidR="002C163D">
        <w:t xml:space="preserve">Aunque gente de muchas edades e identidades de género se someten a la terapia de conversión, los participantes más comunes son jóvenes de entornos religiosos conservadores con familias que rechazan a sus hijos identificados como LGTBQ. </w:t>
      </w:r>
    </w:p>
    <w:p w:rsidR="00783B35" w:rsidRDefault="00783B35" w:rsidP="00783B35">
      <w:pPr>
        <w:spacing w:after="120"/>
        <w:jc w:val="both"/>
      </w:pPr>
    </w:p>
    <w:p w:rsidR="002C163D" w:rsidRDefault="00783B35" w:rsidP="00783B35">
      <w:pPr>
        <w:spacing w:after="120"/>
        <w:jc w:val="both"/>
      </w:pPr>
      <w:r>
        <w:lastRenderedPageBreak/>
        <w:t xml:space="preserve">         </w:t>
      </w:r>
      <w:r w:rsidR="002C163D">
        <w:t>Muchas personas sometidas a terapia de conversión necesitarán tratamiento por trastornos de estrés postraumático y de trauma post-religioso.</w:t>
      </w:r>
    </w:p>
    <w:p w:rsidR="002C163D" w:rsidRDefault="002C163D" w:rsidP="002C163D">
      <w:pPr>
        <w:spacing w:after="120"/>
        <w:ind w:firstLine="567"/>
        <w:jc w:val="both"/>
      </w:pPr>
      <w:r>
        <w:t>Aparte de acabar con esas prácticas dañinas, es esencial apoyar la aceptación y la inclusión de la gente de todas las identidades de género, expresiones de género y orientaciones sexuales.</w:t>
      </w:r>
    </w:p>
    <w:p w:rsidR="002C163D" w:rsidRDefault="002C163D" w:rsidP="002C163D">
      <w:pPr>
        <w:spacing w:after="120"/>
        <w:ind w:firstLine="567"/>
        <w:jc w:val="both"/>
      </w:pPr>
      <w:r>
        <w:t>Los médicos pueden completar una educación continua en los temas que son relevantes para los pacientes LGBTQ, incluyendo las ramificaciones de la terapia de conversión. Solo Washington DC, exige actualmente educación continua en estos temas para los médicos licenciados.</w:t>
      </w:r>
    </w:p>
    <w:p w:rsidR="002C163D" w:rsidRDefault="002C163D" w:rsidP="002C163D">
      <w:pPr>
        <w:spacing w:after="120"/>
        <w:ind w:firstLine="567"/>
        <w:jc w:val="both"/>
      </w:pPr>
    </w:p>
    <w:p w:rsidR="002C163D" w:rsidRDefault="002C163D" w:rsidP="002C163D">
      <w:pPr>
        <w:spacing w:after="120"/>
        <w:ind w:firstLine="567"/>
        <w:jc w:val="both"/>
      </w:pPr>
      <w:r>
        <w:t xml:space="preserve">Según un borrador del USB </w:t>
      </w:r>
      <w:proofErr w:type="spellStart"/>
      <w:r>
        <w:t>joint</w:t>
      </w:r>
      <w:proofErr w:type="spellEnd"/>
      <w:r>
        <w:t xml:space="preserve"> </w:t>
      </w:r>
      <w:proofErr w:type="spellStart"/>
      <w:r>
        <w:t>statement</w:t>
      </w:r>
      <w:proofErr w:type="spellEnd"/>
      <w:r>
        <w:t xml:space="preserve"> </w:t>
      </w:r>
      <w:proofErr w:type="spellStart"/>
      <w:r>
        <w:t>on</w:t>
      </w:r>
      <w:proofErr w:type="spellEnd"/>
      <w:r>
        <w:t xml:space="preserve"> conversión </w:t>
      </w:r>
      <w:proofErr w:type="spellStart"/>
      <w:r>
        <w:t>therapy</w:t>
      </w:r>
      <w:proofErr w:type="spellEnd"/>
      <w:r>
        <w:t>, una declaración de consenso preparada por más de una docena de organizaciones de salud, los médicos en ejercicio deberían tener en cuenta consideraciones del desarrollo de cada etapa de la esperanza de vida cuando traten a sus pacientes y deberían estar preparados para ofrecer terapias de soporte y proveer información rigurosa y recursos para todos los pacientes LGBTQ y sus familias. Creemos que es vital para el personal sanitario entender los riesgos tanto científicos cómo éticos de las terapias de conversión y las respuestas apropiadas para los pacientes que han sido sometidos a ellas y los que están en riesgo y ayudar a crear entornos de soporte para todas las personas LGBTQ.</w:t>
      </w:r>
    </w:p>
    <w:p w:rsidR="002C163D" w:rsidRDefault="00574C56" w:rsidP="002C163D">
      <w:pPr>
        <w:spacing w:after="120"/>
        <w:ind w:firstLine="567"/>
        <w:jc w:val="both"/>
      </w:pPr>
      <w:r>
        <w:rPr>
          <w:noProof/>
        </w:rPr>
        <w:drawing>
          <wp:anchor distT="0" distB="0" distL="114300" distR="114300" simplePos="0" relativeHeight="251660288" behindDoc="0" locked="0" layoutInCell="1" allowOverlap="1">
            <wp:simplePos x="0" y="0"/>
            <wp:positionH relativeFrom="column">
              <wp:posOffset>2924175</wp:posOffset>
            </wp:positionH>
            <wp:positionV relativeFrom="paragraph">
              <wp:posOffset>243205</wp:posOffset>
            </wp:positionV>
            <wp:extent cx="2708910" cy="2895600"/>
            <wp:effectExtent l="19050" t="0" r="0" b="0"/>
            <wp:wrapThrough wrapText="bothSides">
              <wp:wrapPolygon edited="0">
                <wp:start x="-152" y="0"/>
                <wp:lineTo x="-152" y="21458"/>
                <wp:lineTo x="21570" y="21458"/>
                <wp:lineTo x="21570" y="0"/>
                <wp:lineTo x="-152"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08910" cy="28956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20955</wp:posOffset>
            </wp:positionH>
            <wp:positionV relativeFrom="paragraph">
              <wp:posOffset>243205</wp:posOffset>
            </wp:positionV>
            <wp:extent cx="2571750" cy="1577340"/>
            <wp:effectExtent l="19050" t="0" r="0" b="0"/>
            <wp:wrapThrough wrapText="bothSides">
              <wp:wrapPolygon edited="0">
                <wp:start x="-160" y="0"/>
                <wp:lineTo x="-160" y="21391"/>
                <wp:lineTo x="21600" y="21391"/>
                <wp:lineTo x="21600" y="0"/>
                <wp:lineTo x="-16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71750" cy="1577340"/>
                    </a:xfrm>
                    <a:prstGeom prst="rect">
                      <a:avLst/>
                    </a:prstGeom>
                    <a:noFill/>
                    <a:ln w="9525">
                      <a:noFill/>
                      <a:miter lim="800000"/>
                      <a:headEnd/>
                      <a:tailEnd/>
                    </a:ln>
                  </pic:spPr>
                </pic:pic>
              </a:graphicData>
            </a:graphic>
          </wp:anchor>
        </w:drawing>
      </w:r>
    </w:p>
    <w:p w:rsidR="009B3F7C" w:rsidRDefault="00574C56" w:rsidP="009B3F7C">
      <w:pPr>
        <w:spacing w:after="120"/>
        <w:ind w:firstLine="567"/>
        <w:jc w:val="both"/>
      </w:pPr>
      <w:r>
        <w:rPr>
          <w:noProof/>
        </w:rPr>
        <w:drawing>
          <wp:anchor distT="0" distB="0" distL="114300" distR="114300" simplePos="0" relativeHeight="251658240" behindDoc="0" locked="0" layoutInCell="1" allowOverlap="1">
            <wp:simplePos x="0" y="0"/>
            <wp:positionH relativeFrom="column">
              <wp:posOffset>20955</wp:posOffset>
            </wp:positionH>
            <wp:positionV relativeFrom="paragraph">
              <wp:posOffset>68580</wp:posOffset>
            </wp:positionV>
            <wp:extent cx="2571750" cy="1310640"/>
            <wp:effectExtent l="19050" t="0" r="0" b="0"/>
            <wp:wrapThrough wrapText="bothSides">
              <wp:wrapPolygon edited="0">
                <wp:start x="-160" y="0"/>
                <wp:lineTo x="-160" y="21349"/>
                <wp:lineTo x="21600" y="21349"/>
                <wp:lineTo x="21600" y="0"/>
                <wp:lineTo x="-160" y="0"/>
              </wp:wrapPolygon>
            </wp:wrapThrough>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71750" cy="1310640"/>
                    </a:xfrm>
                    <a:prstGeom prst="rect">
                      <a:avLst/>
                    </a:prstGeom>
                    <a:noFill/>
                    <a:ln w="9525">
                      <a:noFill/>
                      <a:miter lim="800000"/>
                      <a:headEnd/>
                      <a:tailEnd/>
                    </a:ln>
                  </pic:spPr>
                </pic:pic>
              </a:graphicData>
            </a:graphic>
          </wp:anchor>
        </w:drawing>
      </w:r>
    </w:p>
    <w:p w:rsidR="00270DC3" w:rsidRDefault="00270DC3" w:rsidP="008D7283">
      <w:pPr>
        <w:spacing w:after="120"/>
        <w:jc w:val="both"/>
      </w:pPr>
    </w:p>
    <w:p w:rsidR="00ED5FF9" w:rsidRDefault="00ED5FF9" w:rsidP="009B3F7C">
      <w:pPr>
        <w:spacing w:after="120"/>
        <w:ind w:firstLine="142"/>
        <w:jc w:val="both"/>
      </w:pPr>
    </w:p>
    <w:sectPr w:rsidR="00ED5FF9" w:rsidSect="00ED5F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2887"/>
    <w:rsid w:val="00022981"/>
    <w:rsid w:val="000933DA"/>
    <w:rsid w:val="00107EFE"/>
    <w:rsid w:val="0014012F"/>
    <w:rsid w:val="0018106B"/>
    <w:rsid w:val="00270DC3"/>
    <w:rsid w:val="00292887"/>
    <w:rsid w:val="002C163D"/>
    <w:rsid w:val="003002F4"/>
    <w:rsid w:val="00350127"/>
    <w:rsid w:val="00461069"/>
    <w:rsid w:val="00503022"/>
    <w:rsid w:val="00540EE8"/>
    <w:rsid w:val="00574C56"/>
    <w:rsid w:val="005768C5"/>
    <w:rsid w:val="00586318"/>
    <w:rsid w:val="006721C3"/>
    <w:rsid w:val="00783B35"/>
    <w:rsid w:val="00876FB6"/>
    <w:rsid w:val="008D7283"/>
    <w:rsid w:val="009B3F7C"/>
    <w:rsid w:val="00A44796"/>
    <w:rsid w:val="00A7033A"/>
    <w:rsid w:val="00AC6380"/>
    <w:rsid w:val="00B57B76"/>
    <w:rsid w:val="00C103A4"/>
    <w:rsid w:val="00C37724"/>
    <w:rsid w:val="00D3397F"/>
    <w:rsid w:val="00D66440"/>
    <w:rsid w:val="00DA4B05"/>
    <w:rsid w:val="00DC7A7C"/>
    <w:rsid w:val="00ED5FF9"/>
    <w:rsid w:val="00F441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87"/>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2887"/>
    <w:rPr>
      <w:color w:val="0000FF"/>
      <w:u w:val="single"/>
    </w:rPr>
  </w:style>
  <w:style w:type="paragraph" w:styleId="Textodeglobo">
    <w:name w:val="Balloon Text"/>
    <w:basedOn w:val="Normal"/>
    <w:link w:val="TextodegloboCar"/>
    <w:uiPriority w:val="99"/>
    <w:semiHidden/>
    <w:unhideWhenUsed/>
    <w:rsid w:val="000933DA"/>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3DA"/>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39658699">
      <w:bodyDiv w:val="1"/>
      <w:marLeft w:val="0"/>
      <w:marRight w:val="0"/>
      <w:marTop w:val="0"/>
      <w:marBottom w:val="0"/>
      <w:divBdr>
        <w:top w:val="none" w:sz="0" w:space="0" w:color="auto"/>
        <w:left w:val="none" w:sz="0" w:space="0" w:color="auto"/>
        <w:bottom w:val="none" w:sz="0" w:space="0" w:color="auto"/>
        <w:right w:val="none" w:sz="0" w:space="0" w:color="auto"/>
      </w:divBdr>
    </w:div>
    <w:div w:id="553733196">
      <w:bodyDiv w:val="1"/>
      <w:marLeft w:val="0"/>
      <w:marRight w:val="0"/>
      <w:marTop w:val="0"/>
      <w:marBottom w:val="0"/>
      <w:divBdr>
        <w:top w:val="none" w:sz="0" w:space="0" w:color="auto"/>
        <w:left w:val="none" w:sz="0" w:space="0" w:color="auto"/>
        <w:bottom w:val="none" w:sz="0" w:space="0" w:color="auto"/>
        <w:right w:val="none" w:sz="0" w:space="0" w:color="auto"/>
      </w:divBdr>
    </w:div>
    <w:div w:id="665406204">
      <w:bodyDiv w:val="1"/>
      <w:marLeft w:val="0"/>
      <w:marRight w:val="0"/>
      <w:marTop w:val="0"/>
      <w:marBottom w:val="0"/>
      <w:divBdr>
        <w:top w:val="none" w:sz="0" w:space="0" w:color="auto"/>
        <w:left w:val="none" w:sz="0" w:space="0" w:color="auto"/>
        <w:bottom w:val="none" w:sz="0" w:space="0" w:color="auto"/>
        <w:right w:val="none" w:sz="0" w:space="0" w:color="auto"/>
      </w:divBdr>
    </w:div>
    <w:div w:id="8872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pasado.a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2</cp:revision>
  <dcterms:created xsi:type="dcterms:W3CDTF">2020-03-25T11:33:00Z</dcterms:created>
  <dcterms:modified xsi:type="dcterms:W3CDTF">2020-03-25T11:33:00Z</dcterms:modified>
</cp:coreProperties>
</file>